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C2" w:rsidRPr="002A06CB" w:rsidRDefault="00E259C2" w:rsidP="00E25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44"/>
          <w:szCs w:val="44"/>
        </w:rPr>
      </w:pPr>
      <w:bookmarkStart w:id="0" w:name="_GoBack"/>
      <w:r w:rsidRPr="002A06CB">
        <w:rPr>
          <w:rFonts w:asciiTheme="majorBidi" w:hAnsiTheme="majorBidi" w:cstheme="majorBidi"/>
          <w:sz w:val="44"/>
          <w:szCs w:val="44"/>
        </w:rPr>
        <w:t xml:space="preserve">Shull, </w:t>
      </w:r>
      <w:proofErr w:type="spellStart"/>
      <w:r w:rsidRPr="002A06CB">
        <w:rPr>
          <w:rFonts w:asciiTheme="majorBidi" w:hAnsiTheme="majorBidi" w:cstheme="majorBidi"/>
          <w:sz w:val="44"/>
          <w:szCs w:val="44"/>
        </w:rPr>
        <w:t>Thomas.J</w:t>
      </w:r>
      <w:proofErr w:type="spellEnd"/>
      <w:r w:rsidRPr="002A06CB">
        <w:rPr>
          <w:rFonts w:asciiTheme="majorBidi" w:hAnsiTheme="majorBidi" w:cstheme="majorBidi"/>
          <w:sz w:val="44"/>
          <w:szCs w:val="44"/>
        </w:rPr>
        <w:t>. (1990). Phases of Meaningful Learning. Review of Educational</w:t>
      </w:r>
    </w:p>
    <w:p w:rsidR="00CD4285" w:rsidRPr="002A06CB" w:rsidRDefault="00E259C2" w:rsidP="00E259C2">
      <w:pPr>
        <w:rPr>
          <w:rFonts w:asciiTheme="majorBidi" w:hAnsiTheme="majorBidi" w:cstheme="majorBidi"/>
          <w:sz w:val="44"/>
          <w:szCs w:val="44"/>
        </w:rPr>
      </w:pPr>
      <w:r w:rsidRPr="002A06CB">
        <w:rPr>
          <w:rFonts w:asciiTheme="majorBidi" w:hAnsiTheme="majorBidi" w:cstheme="majorBidi"/>
          <w:sz w:val="44"/>
          <w:szCs w:val="44"/>
        </w:rPr>
        <w:t>Research. Vol. 60-4, PP.531- 547.</w:t>
      </w:r>
    </w:p>
    <w:p w:rsidR="00E259C2" w:rsidRPr="002A06CB" w:rsidRDefault="00E259C2" w:rsidP="00E259C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44"/>
          <w:szCs w:val="44"/>
        </w:rPr>
      </w:pPr>
      <w:proofErr w:type="spellStart"/>
      <w:r w:rsidRPr="002A06CB">
        <w:rPr>
          <w:rFonts w:asciiTheme="majorBidi" w:hAnsiTheme="majorBidi" w:cstheme="majorBidi"/>
          <w:sz w:val="44"/>
          <w:szCs w:val="44"/>
        </w:rPr>
        <w:t>Schon</w:t>
      </w:r>
      <w:proofErr w:type="spellEnd"/>
      <w:r w:rsidRPr="002A06CB">
        <w:rPr>
          <w:rFonts w:asciiTheme="majorBidi" w:hAnsiTheme="majorBidi" w:cstheme="majorBidi"/>
          <w:sz w:val="44"/>
          <w:szCs w:val="44"/>
        </w:rPr>
        <w:t xml:space="preserve">, </w:t>
      </w:r>
      <w:proofErr w:type="gramStart"/>
      <w:r w:rsidRPr="002A06CB">
        <w:rPr>
          <w:rFonts w:asciiTheme="majorBidi" w:hAnsiTheme="majorBidi" w:cstheme="majorBidi"/>
          <w:sz w:val="44"/>
          <w:szCs w:val="44"/>
        </w:rPr>
        <w:t>D.A.(</w:t>
      </w:r>
      <w:proofErr w:type="gramEnd"/>
      <w:r w:rsidRPr="002A06CB">
        <w:rPr>
          <w:rFonts w:asciiTheme="majorBidi" w:hAnsiTheme="majorBidi" w:cstheme="majorBidi"/>
          <w:sz w:val="44"/>
          <w:szCs w:val="44"/>
        </w:rPr>
        <w:t>1987). Educating the Reflective Practitioner: Toward a New</w:t>
      </w:r>
    </w:p>
    <w:p w:rsidR="00E259C2" w:rsidRPr="002A06CB" w:rsidRDefault="00E259C2" w:rsidP="00E259C2">
      <w:pPr>
        <w:rPr>
          <w:rFonts w:asciiTheme="majorBidi" w:hAnsiTheme="majorBidi" w:cstheme="majorBidi"/>
          <w:sz w:val="44"/>
          <w:szCs w:val="44"/>
        </w:rPr>
      </w:pPr>
      <w:r w:rsidRPr="002A06CB">
        <w:rPr>
          <w:rFonts w:asciiTheme="majorBidi" w:hAnsiTheme="majorBidi" w:cstheme="majorBidi"/>
          <w:sz w:val="44"/>
          <w:szCs w:val="44"/>
        </w:rPr>
        <w:t xml:space="preserve">Design for Teaching and learning in the Professions, </w:t>
      </w:r>
      <w:proofErr w:type="spellStart"/>
      <w:r w:rsidRPr="002A06CB">
        <w:rPr>
          <w:rFonts w:asciiTheme="majorBidi" w:hAnsiTheme="majorBidi" w:cstheme="majorBidi"/>
          <w:sz w:val="44"/>
          <w:szCs w:val="44"/>
        </w:rPr>
        <w:t>Sanfrancisco</w:t>
      </w:r>
      <w:proofErr w:type="spellEnd"/>
      <w:r w:rsidRPr="002A06CB">
        <w:rPr>
          <w:rFonts w:asciiTheme="majorBidi" w:hAnsiTheme="majorBidi" w:cstheme="majorBidi"/>
          <w:sz w:val="44"/>
          <w:szCs w:val="44"/>
        </w:rPr>
        <w:t xml:space="preserve">: </w:t>
      </w:r>
      <w:proofErr w:type="spellStart"/>
      <w:r w:rsidRPr="002A06CB">
        <w:rPr>
          <w:rFonts w:asciiTheme="majorBidi" w:hAnsiTheme="majorBidi" w:cstheme="majorBidi"/>
          <w:sz w:val="44"/>
          <w:szCs w:val="44"/>
        </w:rPr>
        <w:t>Jossey</w:t>
      </w:r>
      <w:proofErr w:type="spellEnd"/>
      <w:r w:rsidRPr="002A06CB">
        <w:rPr>
          <w:rFonts w:asciiTheme="majorBidi" w:hAnsiTheme="majorBidi" w:cstheme="majorBidi"/>
          <w:sz w:val="44"/>
          <w:szCs w:val="44"/>
        </w:rPr>
        <w:t xml:space="preserve"> bass</w:t>
      </w:r>
    </w:p>
    <w:p w:rsidR="001C0647" w:rsidRPr="002A06CB" w:rsidRDefault="00132D2B" w:rsidP="00B130D7">
      <w:pPr>
        <w:bidi/>
        <w:rPr>
          <w:rFonts w:ascii="Persian" w:cs="B Nazanin"/>
          <w:b/>
          <w:bCs/>
          <w:sz w:val="44"/>
          <w:szCs w:val="44"/>
          <w:rtl/>
          <w:lang w:bidi="fa-IR"/>
        </w:rPr>
      </w:pPr>
      <w:r w:rsidRPr="002A06CB">
        <w:rPr>
          <w:rFonts w:ascii="Persian" w:cs="B Nazanin" w:hint="cs"/>
          <w:b/>
          <w:bCs/>
          <w:sz w:val="44"/>
          <w:szCs w:val="44"/>
          <w:rtl/>
          <w:lang w:bidi="fa-IR"/>
        </w:rPr>
        <w:t xml:space="preserve">یادگیری تجربی دیوید کلب (1984).کتاب روانشناسی پرورشی نوین دکتر علی اکبر سیف فصل </w:t>
      </w:r>
      <w:r w:rsidR="00C64782" w:rsidRPr="002A06CB">
        <w:rPr>
          <w:rFonts w:ascii="Persian" w:cs="B Nazanin" w:hint="cs"/>
          <w:b/>
          <w:bCs/>
          <w:sz w:val="44"/>
          <w:szCs w:val="44"/>
          <w:rtl/>
          <w:lang w:bidi="fa-IR"/>
        </w:rPr>
        <w:t>دهم صفحات 265 تا 271</w:t>
      </w:r>
    </w:p>
    <w:p w:rsidR="00C64782" w:rsidRPr="002A06CB" w:rsidRDefault="00D13BCE" w:rsidP="00B130D7">
      <w:pPr>
        <w:bidi/>
        <w:rPr>
          <w:rFonts w:cs="B Nazanin"/>
          <w:b/>
          <w:bCs/>
          <w:sz w:val="44"/>
          <w:szCs w:val="44"/>
          <w:rtl/>
          <w:lang w:bidi="fa-IR"/>
        </w:rPr>
      </w:pPr>
      <w:r w:rsidRPr="002A06CB">
        <w:rPr>
          <w:rFonts w:cs="B Nazanin" w:hint="cs"/>
          <w:b/>
          <w:bCs/>
          <w:sz w:val="44"/>
          <w:szCs w:val="44"/>
          <w:rtl/>
          <w:lang w:bidi="fa-IR"/>
        </w:rPr>
        <w:t>مقاله نقد و بررسی رویکردهای تدریس فکورانه به منظور ارائه ی برنامه درسی  تربیت معلم فکور از دکتر امام جمعه و دکتر مهرمحمدی</w:t>
      </w:r>
      <w:bookmarkEnd w:id="0"/>
    </w:p>
    <w:sectPr w:rsidR="00C64782" w:rsidRPr="002A0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sian">
    <w:panose1 w:val="00000400000000000000"/>
    <w:charset w:val="00"/>
    <w:family w:val="auto"/>
    <w:pitch w:val="variable"/>
    <w:sig w:usb0="00000003" w:usb1="10000000" w:usb2="00000000" w:usb3="00000000" w:csb0="8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9C2"/>
    <w:rsid w:val="00132D2B"/>
    <w:rsid w:val="001C0647"/>
    <w:rsid w:val="002A06CB"/>
    <w:rsid w:val="00B130D7"/>
    <w:rsid w:val="00C64782"/>
    <w:rsid w:val="00CD4285"/>
    <w:rsid w:val="00D13BCE"/>
    <w:rsid w:val="00E259C2"/>
    <w:rsid w:val="00EE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DA722C-F884-48C5-8122-D7845A52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0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kowsarnet</dc:creator>
  <cp:keywords/>
  <dc:description/>
  <cp:lastModifiedBy>basir</cp:lastModifiedBy>
  <cp:revision>3</cp:revision>
  <cp:lastPrinted>2022-10-16T03:51:00Z</cp:lastPrinted>
  <dcterms:created xsi:type="dcterms:W3CDTF">2022-10-15T06:34:00Z</dcterms:created>
  <dcterms:modified xsi:type="dcterms:W3CDTF">2022-10-16T03:51:00Z</dcterms:modified>
</cp:coreProperties>
</file>